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48A5" w14:textId="77777777" w:rsidR="002B700B" w:rsidRPr="002B700B" w:rsidRDefault="002B700B" w:rsidP="002B700B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437C1E97" w14:textId="1088B76A" w:rsidR="002B700B" w:rsidRPr="002B700B" w:rsidRDefault="002B700B" w:rsidP="002B700B">
      <w:pPr>
        <w:spacing w:after="0" w:line="240" w:lineRule="auto"/>
        <w:rPr>
          <w:rFonts w:ascii="Candara" w:hAnsi="Candara"/>
        </w:rPr>
      </w:pPr>
      <w:r w:rsidRPr="002B700B">
        <w:rPr>
          <w:rFonts w:ascii="Candara" w:hAnsi="Candara"/>
        </w:rPr>
        <w:t xml:space="preserve">6750 </w:t>
      </w:r>
      <w:r w:rsidR="00437C6A">
        <w:rPr>
          <w:rFonts w:ascii="Candara" w:hAnsi="Candara"/>
        </w:rPr>
        <w:tab/>
      </w:r>
      <w:r w:rsidR="00437C6A">
        <w:rPr>
          <w:rFonts w:ascii="Candara" w:hAnsi="Candara"/>
        </w:rPr>
        <w:tab/>
      </w:r>
      <w:r w:rsidR="00437C6A" w:rsidRPr="002B700B">
        <w:rPr>
          <w:rFonts w:ascii="Candara" w:hAnsi="Candara"/>
        </w:rPr>
        <w:t>OBSERVATION</w:t>
      </w:r>
    </w:p>
    <w:p w14:paraId="0BAE68F1" w14:textId="77777777" w:rsidR="002B700B" w:rsidRPr="002B700B" w:rsidRDefault="002B700B" w:rsidP="002B700B">
      <w:pPr>
        <w:spacing w:after="0" w:line="240" w:lineRule="auto"/>
        <w:jc w:val="center"/>
        <w:rPr>
          <w:rFonts w:ascii="Candara" w:hAnsi="Candara"/>
          <w:u w:val="single"/>
        </w:rPr>
      </w:pPr>
      <w:r w:rsidRPr="002B700B">
        <w:rPr>
          <w:rFonts w:ascii="Candara" w:hAnsi="Candara"/>
          <w:u w:val="single"/>
        </w:rPr>
        <w:t>FUNCTION</w:t>
      </w:r>
    </w:p>
    <w:p w14:paraId="6AA7EF20" w14:textId="77777777" w:rsidR="002B700B" w:rsidRDefault="002B700B" w:rsidP="002B700B">
      <w:pPr>
        <w:spacing w:after="0" w:line="240" w:lineRule="auto"/>
        <w:rPr>
          <w:rFonts w:ascii="Candara" w:hAnsi="Candara"/>
        </w:rPr>
      </w:pPr>
    </w:p>
    <w:p w14:paraId="63A17BB4" w14:textId="55500664" w:rsidR="002B700B" w:rsidRDefault="002B700B" w:rsidP="002B700B">
      <w:pPr>
        <w:spacing w:after="0" w:line="240" w:lineRule="auto"/>
        <w:rPr>
          <w:rFonts w:ascii="Candara" w:hAnsi="Candara"/>
        </w:rPr>
      </w:pPr>
      <w:r w:rsidRPr="002B700B">
        <w:rPr>
          <w:rFonts w:ascii="Candara" w:hAnsi="Candara"/>
        </w:rPr>
        <w:t>Observation services are those services furnished by the hospital on the hospital’s premises, including use of a bed and periodic monitoring by the hospital’s nursing or other staff, which are reasonable and necessary to determine the need for a possible admission to the hospital as an inpatient. Such services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must be ordered and documented in writing as to time and method (FAX, telephone, etc.), given by a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medical staff practitioner. Observation services may or may not be provided in a distinct area of the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hospital. Notwithstanding the location of the service, all expenses, revenue, statistics, and price compliance must be included in the reporting of the Observation center. Extended recovery time for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scheduled ambulatory surgery patients should be included in the reporting of the Same Day Surgery center. Additional activities include, but are not limited to the following:</w:t>
      </w:r>
    </w:p>
    <w:p w14:paraId="192017C9" w14:textId="77777777" w:rsidR="00437C6A" w:rsidRPr="002B700B" w:rsidRDefault="00437C6A" w:rsidP="002B700B">
      <w:pPr>
        <w:spacing w:after="0" w:line="240" w:lineRule="auto"/>
        <w:rPr>
          <w:rFonts w:ascii="Candara" w:hAnsi="Candara"/>
        </w:rPr>
      </w:pPr>
    </w:p>
    <w:p w14:paraId="13A06EEE" w14:textId="7A121CF7" w:rsidR="002B700B" w:rsidRDefault="002B700B" w:rsidP="002B700B">
      <w:pPr>
        <w:spacing w:after="0" w:line="240" w:lineRule="auto"/>
        <w:ind w:left="360" w:right="360"/>
        <w:rPr>
          <w:rFonts w:ascii="Candara" w:hAnsi="Candara"/>
        </w:rPr>
      </w:pPr>
      <w:r w:rsidRPr="002B700B">
        <w:rPr>
          <w:rFonts w:ascii="Candara" w:hAnsi="Candara"/>
        </w:rPr>
        <w:t>Monitoring of vital life signs; collecting sputum, urine, and feces;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operating of specialized equipment and assisting physicians during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patient examination and treatment; changing of dressings and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cleaning of wounds and incisions; observing and recording the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emotional stability of patients; observing patients for reaction to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 xml:space="preserve">drugs; </w:t>
      </w:r>
      <w:r>
        <w:rPr>
          <w:rFonts w:ascii="Candara" w:hAnsi="Candara"/>
        </w:rPr>
        <w:t>administering</w:t>
      </w:r>
      <w:r w:rsidRPr="002B700B">
        <w:rPr>
          <w:rFonts w:ascii="Candara" w:hAnsi="Candara"/>
        </w:rPr>
        <w:t xml:space="preserve"> specified medication; and infusing fluids including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I.V.s and blood.</w:t>
      </w:r>
    </w:p>
    <w:p w14:paraId="46EC71D3" w14:textId="77777777" w:rsidR="002B700B" w:rsidRPr="002B700B" w:rsidRDefault="002B700B" w:rsidP="002B700B">
      <w:pPr>
        <w:spacing w:after="0" w:line="240" w:lineRule="auto"/>
        <w:ind w:left="360" w:right="360"/>
        <w:rPr>
          <w:rFonts w:ascii="Candara" w:hAnsi="Candara"/>
        </w:rPr>
      </w:pPr>
    </w:p>
    <w:p w14:paraId="0CCC56CA" w14:textId="77777777" w:rsidR="002B700B" w:rsidRPr="002B700B" w:rsidRDefault="002B700B" w:rsidP="002B700B">
      <w:pPr>
        <w:spacing w:after="0" w:line="240" w:lineRule="auto"/>
        <w:jc w:val="center"/>
        <w:rPr>
          <w:rFonts w:ascii="Candara" w:hAnsi="Candara"/>
          <w:u w:val="single"/>
        </w:rPr>
      </w:pPr>
      <w:r w:rsidRPr="002B700B">
        <w:rPr>
          <w:rFonts w:ascii="Candara" w:hAnsi="Candara"/>
          <w:u w:val="single"/>
        </w:rPr>
        <w:t>Description</w:t>
      </w:r>
    </w:p>
    <w:p w14:paraId="59512D15" w14:textId="77777777" w:rsidR="002B700B" w:rsidRDefault="002B700B" w:rsidP="002B700B">
      <w:pPr>
        <w:spacing w:after="0" w:line="240" w:lineRule="auto"/>
        <w:rPr>
          <w:rFonts w:ascii="Candara" w:hAnsi="Candara"/>
        </w:rPr>
      </w:pPr>
    </w:p>
    <w:p w14:paraId="6AB1F700" w14:textId="30D205A3" w:rsidR="002B700B" w:rsidRDefault="002B700B" w:rsidP="002B700B">
      <w:pPr>
        <w:spacing w:after="0" w:line="240" w:lineRule="auto"/>
        <w:rPr>
          <w:rFonts w:ascii="Candara" w:hAnsi="Candara"/>
        </w:rPr>
      </w:pPr>
      <w:r w:rsidRPr="002B700B">
        <w:rPr>
          <w:rFonts w:ascii="Candara" w:hAnsi="Candara"/>
        </w:rPr>
        <w:t xml:space="preserve">This cost center contains the direct expenses incurred in providing bedside care to observation patients. Included as direct expenses </w:t>
      </w:r>
      <w:r w:rsidR="00437C6A" w:rsidRPr="002B700B">
        <w:rPr>
          <w:rFonts w:ascii="Candara" w:hAnsi="Candara"/>
        </w:rPr>
        <w:t>are</w:t>
      </w:r>
      <w:r w:rsidRPr="002B700B">
        <w:rPr>
          <w:rFonts w:ascii="Candara" w:hAnsi="Candara"/>
        </w:rPr>
        <w:t xml:space="preserve"> salaries and wages, employee benefits, non-physician professional fees,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non-medical/surgical supplies, purchased services, and other direct expenses and transfers.</w:t>
      </w:r>
    </w:p>
    <w:p w14:paraId="4F3CA78E" w14:textId="77777777" w:rsidR="002B700B" w:rsidRDefault="002B700B" w:rsidP="002B700B">
      <w:pPr>
        <w:spacing w:after="0" w:line="240" w:lineRule="auto"/>
        <w:rPr>
          <w:rFonts w:ascii="Candara" w:hAnsi="Candara"/>
        </w:rPr>
      </w:pPr>
    </w:p>
    <w:p w14:paraId="3ACA5DA8" w14:textId="485DBD86" w:rsidR="002B700B" w:rsidRPr="002B700B" w:rsidRDefault="002B700B" w:rsidP="002B700B">
      <w:pPr>
        <w:spacing w:after="0" w:line="240" w:lineRule="auto"/>
        <w:jc w:val="center"/>
        <w:rPr>
          <w:rFonts w:ascii="Candara" w:hAnsi="Candara"/>
          <w:u w:val="single"/>
        </w:rPr>
      </w:pPr>
      <w:r w:rsidRPr="002B700B">
        <w:rPr>
          <w:rFonts w:ascii="Candara" w:hAnsi="Candara"/>
          <w:u w:val="single"/>
        </w:rPr>
        <w:t>Standard Unit of Measure: Hours</w:t>
      </w:r>
    </w:p>
    <w:p w14:paraId="29A4172D" w14:textId="77777777" w:rsidR="002B700B" w:rsidRDefault="002B700B" w:rsidP="002B700B">
      <w:pPr>
        <w:spacing w:after="0" w:line="240" w:lineRule="auto"/>
        <w:rPr>
          <w:rFonts w:ascii="Candara" w:hAnsi="Candara"/>
        </w:rPr>
      </w:pPr>
    </w:p>
    <w:p w14:paraId="13636715" w14:textId="032D7B86" w:rsidR="002B700B" w:rsidRPr="002B700B" w:rsidRDefault="002B700B" w:rsidP="002B700B">
      <w:pPr>
        <w:spacing w:after="0" w:line="240" w:lineRule="auto"/>
        <w:rPr>
          <w:rFonts w:ascii="Candara" w:hAnsi="Candara"/>
        </w:rPr>
      </w:pPr>
      <w:r w:rsidRPr="002B700B">
        <w:rPr>
          <w:rFonts w:ascii="Candara" w:hAnsi="Candara"/>
        </w:rPr>
        <w:t xml:space="preserve">Report the number of hours commencing at the time a valid order for observation is made and ending </w:t>
      </w:r>
      <w:r w:rsidR="00402C19" w:rsidRPr="00402C19">
        <w:rPr>
          <w:rFonts w:ascii="Candara" w:hAnsi="Candara"/>
        </w:rPr>
        <w:t>when all clinical or medical interventions have been completed, including follow-up care furnished by hospital staff and physicians that may take place after a physician has ordered the patient be released or admitted as an inpatient or at midnight of the day before a patient is admitted.</w:t>
      </w:r>
      <w:r w:rsidRPr="002B700B">
        <w:rPr>
          <w:rFonts w:ascii="Candara" w:hAnsi="Candara"/>
        </w:rPr>
        <w:t xml:space="preserve"> This service usually does not exceed one day. Some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>patients may, however, require a second day of observation services. Only in rare and exceptional</w:t>
      </w:r>
      <w:r>
        <w:rPr>
          <w:rFonts w:ascii="Candara" w:hAnsi="Candara"/>
        </w:rPr>
        <w:t xml:space="preserve"> </w:t>
      </w:r>
      <w:r w:rsidRPr="002B700B">
        <w:rPr>
          <w:rFonts w:ascii="Candara" w:hAnsi="Candara"/>
        </w:rPr>
        <w:t xml:space="preserve">circumstances should reasonable and necessary observation services span more than 48 hours. The minimum observation time is one hour; any partial hours are rounded to the nearest full hour. </w:t>
      </w:r>
    </w:p>
    <w:p w14:paraId="328166E8" w14:textId="77777777" w:rsidR="002B700B" w:rsidRDefault="002B700B" w:rsidP="002B700B">
      <w:pPr>
        <w:spacing w:after="0" w:line="240" w:lineRule="auto"/>
        <w:rPr>
          <w:rFonts w:ascii="Candara" w:hAnsi="Candara"/>
        </w:rPr>
      </w:pPr>
    </w:p>
    <w:p w14:paraId="67764839" w14:textId="0425A040" w:rsidR="002B700B" w:rsidRPr="002B700B" w:rsidRDefault="002B700B" w:rsidP="002B700B">
      <w:pPr>
        <w:spacing w:after="0" w:line="240" w:lineRule="auto"/>
        <w:jc w:val="center"/>
        <w:rPr>
          <w:rFonts w:ascii="Candara" w:hAnsi="Candara"/>
          <w:u w:val="single"/>
        </w:rPr>
      </w:pPr>
      <w:r w:rsidRPr="002B700B">
        <w:rPr>
          <w:rFonts w:ascii="Candara" w:hAnsi="Candara"/>
          <w:u w:val="single"/>
        </w:rPr>
        <w:t>Data Source</w:t>
      </w:r>
    </w:p>
    <w:p w14:paraId="66AD4C88" w14:textId="77777777" w:rsidR="002B700B" w:rsidRDefault="002B700B" w:rsidP="002B700B">
      <w:pPr>
        <w:spacing w:after="0" w:line="240" w:lineRule="auto"/>
        <w:rPr>
          <w:rFonts w:ascii="Candara" w:hAnsi="Candara"/>
        </w:rPr>
      </w:pPr>
    </w:p>
    <w:p w14:paraId="3FBDAA5E" w14:textId="019906FA" w:rsidR="002B700B" w:rsidRDefault="002B700B" w:rsidP="002B700B">
      <w:pPr>
        <w:spacing w:after="0" w:line="240" w:lineRule="auto"/>
        <w:rPr>
          <w:rFonts w:ascii="Candara" w:hAnsi="Candara"/>
        </w:rPr>
      </w:pPr>
      <w:r w:rsidRPr="002B700B">
        <w:rPr>
          <w:rFonts w:ascii="Candara" w:hAnsi="Candara"/>
        </w:rPr>
        <w:t>The number of hours shall be the total of the actual count of clock hours of observation services provided.</w:t>
      </w:r>
    </w:p>
    <w:p w14:paraId="53FB927D" w14:textId="77777777" w:rsidR="002B700B" w:rsidRPr="002B700B" w:rsidRDefault="002B700B" w:rsidP="002B700B">
      <w:pPr>
        <w:spacing w:after="0" w:line="240" w:lineRule="auto"/>
        <w:rPr>
          <w:rFonts w:ascii="Candara" w:hAnsi="Candara"/>
        </w:rPr>
      </w:pPr>
    </w:p>
    <w:p w14:paraId="40225EBB" w14:textId="02E87B6E" w:rsidR="002B700B" w:rsidRDefault="002B700B" w:rsidP="002B700B">
      <w:pPr>
        <w:spacing w:after="0" w:line="240" w:lineRule="auto"/>
        <w:jc w:val="center"/>
        <w:rPr>
          <w:rFonts w:ascii="Candara" w:hAnsi="Candara"/>
        </w:rPr>
      </w:pPr>
      <w:r w:rsidRPr="002B700B">
        <w:rPr>
          <w:rFonts w:ascii="Candara" w:hAnsi="Candara"/>
          <w:u w:val="single"/>
        </w:rPr>
        <w:t>Reporting Schedule</w:t>
      </w:r>
    </w:p>
    <w:p w14:paraId="6DF656A2" w14:textId="752FA6E4" w:rsidR="00457893" w:rsidRPr="002B700B" w:rsidRDefault="002B700B" w:rsidP="002B700B">
      <w:pPr>
        <w:spacing w:after="0" w:line="240" w:lineRule="auto"/>
        <w:jc w:val="center"/>
        <w:rPr>
          <w:rFonts w:ascii="Candara" w:hAnsi="Candara"/>
        </w:rPr>
      </w:pPr>
      <w:r w:rsidRPr="002B700B">
        <w:rPr>
          <w:rFonts w:ascii="Candara" w:hAnsi="Candara"/>
        </w:rPr>
        <w:t>Schedule D - Line D55</w:t>
      </w:r>
    </w:p>
    <w:sectPr w:rsidR="00457893" w:rsidRPr="002B70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B9C2" w14:textId="77777777" w:rsidR="00437C6A" w:rsidRDefault="00437C6A" w:rsidP="00437C6A">
      <w:pPr>
        <w:spacing w:after="0" w:line="240" w:lineRule="auto"/>
      </w:pPr>
      <w:r>
        <w:separator/>
      </w:r>
    </w:p>
  </w:endnote>
  <w:endnote w:type="continuationSeparator" w:id="0">
    <w:p w14:paraId="32859518" w14:textId="77777777" w:rsidR="00437C6A" w:rsidRDefault="00437C6A" w:rsidP="004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6546" w14:textId="77777777" w:rsidR="00437C6A" w:rsidRDefault="00437C6A" w:rsidP="00437C6A">
      <w:pPr>
        <w:spacing w:after="0" w:line="240" w:lineRule="auto"/>
      </w:pPr>
      <w:r>
        <w:separator/>
      </w:r>
    </w:p>
  </w:footnote>
  <w:footnote w:type="continuationSeparator" w:id="0">
    <w:p w14:paraId="30754337" w14:textId="77777777" w:rsidR="00437C6A" w:rsidRDefault="00437C6A" w:rsidP="0043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0FB" w14:textId="4E083804" w:rsidR="00437C6A" w:rsidRDefault="00437C6A">
    <w:pPr>
      <w:pStyle w:val="Header"/>
    </w:pPr>
    <w:r>
      <w:t>07/01/23</w:t>
    </w:r>
    <w:r>
      <w:tab/>
      <w:t>SECTION 200</w:t>
    </w:r>
    <w:r>
      <w:tab/>
      <w:t xml:space="preserve">116 </w:t>
    </w:r>
  </w:p>
  <w:p w14:paraId="244AA80D" w14:textId="164FDEFA" w:rsidR="00437C6A" w:rsidRDefault="00437C6A">
    <w:pPr>
      <w:pStyle w:val="Header"/>
    </w:pPr>
    <w:r>
      <w:tab/>
      <w:t>CHART OF ACCOUNT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B"/>
    <w:rsid w:val="000366B8"/>
    <w:rsid w:val="00244074"/>
    <w:rsid w:val="002B700B"/>
    <w:rsid w:val="00364FBF"/>
    <w:rsid w:val="003C3811"/>
    <w:rsid w:val="00402C19"/>
    <w:rsid w:val="00437C6A"/>
    <w:rsid w:val="00447625"/>
    <w:rsid w:val="004A7659"/>
    <w:rsid w:val="005F1241"/>
    <w:rsid w:val="00695301"/>
    <w:rsid w:val="006967C6"/>
    <w:rsid w:val="00705504"/>
    <w:rsid w:val="00AD5B7B"/>
    <w:rsid w:val="00C30362"/>
    <w:rsid w:val="00D215C1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F541"/>
  <w15:chartTrackingRefBased/>
  <w15:docId w15:val="{881D7559-64D4-480C-9933-0FF8CA2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7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7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6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6A"/>
  </w:style>
  <w:style w:type="paragraph" w:styleId="Footer">
    <w:name w:val="footer"/>
    <w:basedOn w:val="Normal"/>
    <w:link w:val="FooterChar"/>
    <w:uiPriority w:val="99"/>
    <w:unhideWhenUsed/>
    <w:rsid w:val="0043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92FA2E-7D38-4308-B432-4B66A040903F}"/>
</file>

<file path=customXml/itemProps2.xml><?xml version="1.0" encoding="utf-8"?>
<ds:datastoreItem xmlns:ds="http://schemas.openxmlformats.org/officeDocument/2006/customXml" ds:itemID="{EF1C74EA-8DE6-476F-AA8F-6A2A2C58835E}"/>
</file>

<file path=customXml/itemProps3.xml><?xml version="1.0" encoding="utf-8"?>
<ds:datastoreItem xmlns:ds="http://schemas.openxmlformats.org/officeDocument/2006/customXml" ds:itemID="{A7670F68-04F4-49DB-A71B-950197B9D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Shea</dc:creator>
  <cp:keywords/>
  <dc:description/>
  <cp:lastModifiedBy>William Hoff</cp:lastModifiedBy>
  <cp:revision>4</cp:revision>
  <dcterms:created xsi:type="dcterms:W3CDTF">2023-04-28T14:22:00Z</dcterms:created>
  <dcterms:modified xsi:type="dcterms:W3CDTF">2023-05-23T14:28:00Z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